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5000" w:type="pct"/>
        <w:tblInd w:w="0" w:type="dxa"/>
        <w:tblLayout w:type="fixed"/>
        <w:tblCellMar>
          <w:left w:w="0" w:type="dxa"/>
          <w:right w:w="0" w:type="dxa"/>
        </w:tblCellMar>
        <w:tblLook w:val="0020" w:firstRow="1" w:lastRow="0" w:firstColumn="0" w:lastColumn="0" w:noHBand="0" w:noVBand="0"/>
      </w:tblPr>
      <w:tblGrid>
        <w:gridCol w:w="2341"/>
        <w:gridCol w:w="6731"/>
      </w:tblGrid>
      <w:tr w:rsidR="00EF695B" w14:paraId="5C303EB4" w14:textId="77777777" w:rsidTr="00EF695B">
        <w:trPr>
          <w:tblHeader/>
        </w:trPr>
        <w:tc>
          <w:tcPr>
            <w:tcW w:w="2341" w:type="dxa"/>
          </w:tcPr>
          <w:p w14:paraId="37B0ADA9" w14:textId="555CEC9A" w:rsidR="00EF695B" w:rsidRDefault="00EF695B" w:rsidP="005D2669">
            <w:pPr>
              <w:pStyle w:val="Compact"/>
              <w:rPr>
                <w:b/>
                <w:bCs/>
              </w:rPr>
            </w:pPr>
            <w:r>
              <w:rPr>
                <w:b/>
                <w:bCs/>
              </w:rPr>
              <w:t>N</w:t>
            </w:r>
            <w:r>
              <w:rPr>
                <w:b/>
                <w:bCs/>
              </w:rPr>
              <w:t>ame</w:t>
            </w:r>
          </w:p>
        </w:tc>
        <w:tc>
          <w:tcPr>
            <w:tcW w:w="6731" w:type="dxa"/>
          </w:tcPr>
          <w:p w14:paraId="1002F2FB" w14:textId="77777777" w:rsidR="00EF695B" w:rsidRDefault="00EF695B" w:rsidP="005D2669">
            <w:pPr>
              <w:pStyle w:val="Compact"/>
              <w:rPr>
                <w:b/>
                <w:bCs/>
              </w:rPr>
            </w:pPr>
            <w:r>
              <w:rPr>
                <w:b/>
                <w:bCs/>
              </w:rPr>
              <w:t>Particular supervision strengths</w:t>
            </w:r>
          </w:p>
        </w:tc>
      </w:tr>
      <w:tr w:rsidR="00EF695B" w14:paraId="485653DA" w14:textId="77777777" w:rsidTr="00EF695B">
        <w:tc>
          <w:tcPr>
            <w:tcW w:w="2341" w:type="dxa"/>
          </w:tcPr>
          <w:p w14:paraId="41E27015" w14:textId="77777777" w:rsidR="00EF695B" w:rsidRDefault="00EF695B" w:rsidP="005D2669">
            <w:pPr>
              <w:pStyle w:val="Compact"/>
            </w:pPr>
            <w:hyperlink r:id="rId6">
              <w:r>
                <w:rPr>
                  <w:rStyle w:val="Hyperlink"/>
                </w:rPr>
                <w:t>Dr Thomas Hall</w:t>
              </w:r>
            </w:hyperlink>
          </w:p>
        </w:tc>
        <w:tc>
          <w:tcPr>
            <w:tcW w:w="6731" w:type="dxa"/>
          </w:tcPr>
          <w:p w14:paraId="26F2B6AA" w14:textId="77777777" w:rsidR="00EF695B" w:rsidRDefault="00EF695B" w:rsidP="005D2669">
            <w:pPr>
              <w:pStyle w:val="Compact"/>
            </w:pPr>
            <w:r>
              <w:t>Old English; Patristic/Medieval/Hiberno-Latin; hagiography; eschatology; homiletics</w:t>
            </w:r>
          </w:p>
        </w:tc>
      </w:tr>
      <w:tr w:rsidR="00EF695B" w14:paraId="785F9B16" w14:textId="77777777" w:rsidTr="00EF695B">
        <w:tc>
          <w:tcPr>
            <w:tcW w:w="2341" w:type="dxa"/>
          </w:tcPr>
          <w:p w14:paraId="32DB9F99" w14:textId="77777777" w:rsidR="00EF695B" w:rsidRDefault="00EF695B" w:rsidP="005D2669">
            <w:pPr>
              <w:pStyle w:val="Compact"/>
            </w:pPr>
            <w:hyperlink r:id="rId7">
              <w:r>
                <w:rPr>
                  <w:rStyle w:val="Hyperlink"/>
                </w:rPr>
                <w:t>Dr Paul Langeslag</w:t>
              </w:r>
            </w:hyperlink>
          </w:p>
        </w:tc>
        <w:tc>
          <w:tcPr>
            <w:tcW w:w="6731" w:type="dxa"/>
          </w:tcPr>
          <w:p w14:paraId="2E867C69" w14:textId="77777777" w:rsidR="00EF695B" w:rsidRDefault="00EF695B" w:rsidP="005D2669">
            <w:pPr>
              <w:pStyle w:val="Compact"/>
            </w:pPr>
            <w:r>
              <w:t>Old English; Old Norse; Natural Language Processing</w:t>
            </w:r>
          </w:p>
        </w:tc>
      </w:tr>
      <w:tr w:rsidR="00EF695B" w14:paraId="09E5329D" w14:textId="77777777" w:rsidTr="00EF695B">
        <w:tc>
          <w:tcPr>
            <w:tcW w:w="2341" w:type="dxa"/>
          </w:tcPr>
          <w:p w14:paraId="06CD9E1F" w14:textId="77777777" w:rsidR="00EF695B" w:rsidRDefault="00EF695B" w:rsidP="005D2669">
            <w:pPr>
              <w:pStyle w:val="Compact"/>
            </w:pPr>
            <w:hyperlink r:id="rId8">
              <w:r>
                <w:rPr>
                  <w:rStyle w:val="Hyperlink"/>
                </w:rPr>
                <w:t>Prof. Winfried Rudolf</w:t>
              </w:r>
            </w:hyperlink>
          </w:p>
        </w:tc>
        <w:tc>
          <w:tcPr>
            <w:tcW w:w="6731" w:type="dxa"/>
          </w:tcPr>
          <w:p w14:paraId="1937B9F2" w14:textId="77777777" w:rsidR="00EF695B" w:rsidRDefault="00EF695B" w:rsidP="005D2669">
            <w:pPr>
              <w:pStyle w:val="Compact"/>
            </w:pPr>
            <w:r>
              <w:t>Old English; Middle English; palaeography; editing; textual criticism; history of the discipline</w:t>
            </w:r>
          </w:p>
        </w:tc>
      </w:tr>
      <w:tr w:rsidR="00EF695B" w14:paraId="6A7F3A61" w14:textId="77777777" w:rsidTr="00EF695B">
        <w:tc>
          <w:tcPr>
            <w:tcW w:w="2341" w:type="dxa"/>
          </w:tcPr>
          <w:p w14:paraId="38D35F44" w14:textId="77777777" w:rsidR="00EF695B" w:rsidRDefault="00EF695B" w:rsidP="005D2669">
            <w:pPr>
              <w:pStyle w:val="Compact"/>
            </w:pPr>
            <w:hyperlink r:id="rId9">
              <w:r>
                <w:rPr>
                  <w:rStyle w:val="Hyperlink"/>
                </w:rPr>
                <w:t>Carolina Ruthenbürger</w:t>
              </w:r>
            </w:hyperlink>
            <w:r>
              <w:t>*</w:t>
            </w:r>
          </w:p>
        </w:tc>
        <w:tc>
          <w:tcPr>
            <w:tcW w:w="6731" w:type="dxa"/>
          </w:tcPr>
          <w:p w14:paraId="1FFA9051" w14:textId="77777777" w:rsidR="00EF695B" w:rsidRDefault="00EF695B" w:rsidP="005D2669">
            <w:pPr>
              <w:pStyle w:val="Compact"/>
            </w:pPr>
            <w:r>
              <w:t>Middle English; Latin; romance; alliterative poetry; translation (theory); narratology</w:t>
            </w:r>
          </w:p>
        </w:tc>
      </w:tr>
      <w:tr w:rsidR="00EF695B" w14:paraId="7EF3EAD4" w14:textId="77777777" w:rsidTr="00EF695B">
        <w:tc>
          <w:tcPr>
            <w:tcW w:w="2341" w:type="dxa"/>
          </w:tcPr>
          <w:p w14:paraId="2DEF9BF7" w14:textId="77777777" w:rsidR="00EF695B" w:rsidRDefault="00EF695B" w:rsidP="005D2669">
            <w:pPr>
              <w:pStyle w:val="Compact"/>
            </w:pPr>
            <w:hyperlink r:id="rId10">
              <w:r>
                <w:rPr>
                  <w:rStyle w:val="Hyperlink"/>
                </w:rPr>
                <w:t>Dr Dirk Schultze</w:t>
              </w:r>
            </w:hyperlink>
          </w:p>
        </w:tc>
        <w:tc>
          <w:tcPr>
            <w:tcW w:w="6731" w:type="dxa"/>
          </w:tcPr>
          <w:p w14:paraId="5C3F2ED1" w14:textId="77777777" w:rsidR="00EF695B" w:rsidRDefault="00EF695B" w:rsidP="005D2669">
            <w:pPr>
              <w:pStyle w:val="Compact"/>
            </w:pPr>
            <w:r>
              <w:t>Middle English; palaeography; editing; translation (theory); connections with neighbouring traditions; medievalism</w:t>
            </w:r>
          </w:p>
        </w:tc>
      </w:tr>
    </w:tbl>
    <w:p w14:paraId="6E84BE39" w14:textId="77777777" w:rsidR="00EF695B" w:rsidRDefault="00EF695B" w:rsidP="00EF695B">
      <w:pPr>
        <w:pStyle w:val="Funotentext"/>
      </w:pPr>
      <w:r>
        <w:t xml:space="preserve">* General </w:t>
      </w:r>
      <w:proofErr w:type="spellStart"/>
      <w:r>
        <w:t>availabilty</w:t>
      </w:r>
      <w:proofErr w:type="spellEnd"/>
      <w:r>
        <w:t xml:space="preserve"> limited to the role of second reader at the BA level. Eligibility as first supervisor at the BA level, as well as second reader at the MA level, limited to topics directly related to her teaching.</w:t>
      </w:r>
    </w:p>
    <w:p w14:paraId="1820E82C" w14:textId="77777777" w:rsidR="00551A9F" w:rsidRDefault="00EF695B"/>
    <w:sectPr w:rsidR="00551A9F">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C2A2" w14:textId="77777777" w:rsidR="00EF695B" w:rsidRDefault="00EF695B" w:rsidP="00EF695B">
      <w:pPr>
        <w:spacing w:after="0"/>
      </w:pPr>
      <w:r>
        <w:separator/>
      </w:r>
    </w:p>
  </w:endnote>
  <w:endnote w:type="continuationSeparator" w:id="0">
    <w:p w14:paraId="2BED6221" w14:textId="77777777" w:rsidR="00EF695B" w:rsidRDefault="00EF695B" w:rsidP="00EF69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935E" w14:textId="77777777" w:rsidR="00EF695B" w:rsidRDefault="00EF695B" w:rsidP="00EF695B">
      <w:pPr>
        <w:spacing w:after="0"/>
      </w:pPr>
      <w:r>
        <w:separator/>
      </w:r>
    </w:p>
  </w:footnote>
  <w:footnote w:type="continuationSeparator" w:id="0">
    <w:p w14:paraId="7B13E515" w14:textId="77777777" w:rsidR="00EF695B" w:rsidRDefault="00EF695B" w:rsidP="00EF69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19EB" w14:textId="4AC5D38B" w:rsidR="00EF695B" w:rsidRDefault="00EF695B" w:rsidP="00EF695B">
    <w:pPr>
      <w:pStyle w:val="berschrift1"/>
    </w:pPr>
    <w:r>
      <w:t>Supervisors</w:t>
    </w:r>
  </w:p>
  <w:p w14:paraId="6E73CBC3" w14:textId="77777777" w:rsidR="00EF695B" w:rsidRDefault="00EF69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5B"/>
    <w:rsid w:val="0035052C"/>
    <w:rsid w:val="009A7110"/>
    <w:rsid w:val="00D22A2B"/>
    <w:rsid w:val="00D250D3"/>
    <w:rsid w:val="00EF6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F4FE"/>
  <w15:chartTrackingRefBased/>
  <w15:docId w15:val="{D08ECCD2-52ED-4944-AC1D-78589605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695B"/>
    <w:pPr>
      <w:suppressAutoHyphens/>
      <w:spacing w:after="200" w:line="240" w:lineRule="auto"/>
    </w:pPr>
    <w:rPr>
      <w:color w:val="00000A"/>
      <w:sz w:val="24"/>
      <w:szCs w:val="24"/>
      <w:lang w:val="en-GB"/>
    </w:rPr>
  </w:style>
  <w:style w:type="paragraph" w:styleId="berschrift1">
    <w:name w:val="heading 1"/>
    <w:basedOn w:val="Standard"/>
    <w:link w:val="berschrift1Zchn"/>
    <w:uiPriority w:val="9"/>
    <w:qFormat/>
    <w:rsid w:val="00EF695B"/>
    <w:pPr>
      <w:keepNext/>
      <w:keepLines/>
      <w:spacing w:before="480" w:after="0"/>
      <w:outlineLvl w:val="0"/>
    </w:pPr>
    <w:rPr>
      <w:rFonts w:ascii="Times New Roman" w:eastAsiaTheme="majorEastAsia" w:hAnsi="Times New Roman" w:cstheme="majorBidi"/>
      <w:b/>
      <w:bCs/>
      <w:color w:val="000000"/>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F695B"/>
    <w:rPr>
      <w:color w:val="000080"/>
      <w:u w:val="single"/>
    </w:rPr>
  </w:style>
  <w:style w:type="paragraph" w:customStyle="1" w:styleId="Compact">
    <w:name w:val="Compact"/>
    <w:basedOn w:val="Textkrper"/>
    <w:qFormat/>
    <w:rsid w:val="00EF695B"/>
    <w:pPr>
      <w:spacing w:before="36" w:after="36"/>
    </w:pPr>
    <w:rPr>
      <w:rFonts w:ascii="Times New Roman" w:hAnsi="Times New Roman"/>
    </w:rPr>
  </w:style>
  <w:style w:type="paragraph" w:styleId="Funotentext">
    <w:name w:val="footnote text"/>
    <w:basedOn w:val="Standard"/>
    <w:link w:val="FunotentextZchn"/>
    <w:uiPriority w:val="9"/>
    <w:unhideWhenUsed/>
    <w:qFormat/>
    <w:rsid w:val="00EF695B"/>
    <w:rPr>
      <w:rFonts w:ascii="Times New Roman" w:hAnsi="Times New Roman"/>
      <w:sz w:val="20"/>
    </w:rPr>
  </w:style>
  <w:style w:type="character" w:customStyle="1" w:styleId="FunotentextZchn">
    <w:name w:val="Fußnotentext Zchn"/>
    <w:basedOn w:val="Absatz-Standardschriftart"/>
    <w:link w:val="Funotentext"/>
    <w:uiPriority w:val="9"/>
    <w:rsid w:val="00EF695B"/>
    <w:rPr>
      <w:rFonts w:ascii="Times New Roman" w:hAnsi="Times New Roman"/>
      <w:color w:val="00000A"/>
      <w:sz w:val="20"/>
      <w:szCs w:val="24"/>
      <w:lang w:val="en-GB"/>
    </w:rPr>
  </w:style>
  <w:style w:type="table" w:customStyle="1" w:styleId="Table">
    <w:name w:val="Table"/>
    <w:semiHidden/>
    <w:unhideWhenUsed/>
    <w:qFormat/>
    <w:rsid w:val="00EF695B"/>
    <w:pPr>
      <w:suppressAutoHyphens/>
      <w:spacing w:after="0" w:line="240" w:lineRule="auto"/>
    </w:pPr>
    <w:rPr>
      <w:sz w:val="20"/>
      <w:szCs w:val="24"/>
      <w:lang w:val="en-GB"/>
    </w:rPr>
    <w:tblPr>
      <w:tblCellMar>
        <w:top w:w="0" w:type="dxa"/>
        <w:left w:w="108" w:type="dxa"/>
        <w:bottom w:w="0" w:type="dxa"/>
        <w:right w:w="108" w:type="dxa"/>
      </w:tblCellMar>
    </w:tblPr>
  </w:style>
  <w:style w:type="paragraph" w:styleId="Textkrper">
    <w:name w:val="Body Text"/>
    <w:basedOn w:val="Standard"/>
    <w:link w:val="TextkrperZchn"/>
    <w:uiPriority w:val="99"/>
    <w:semiHidden/>
    <w:unhideWhenUsed/>
    <w:rsid w:val="00EF695B"/>
    <w:pPr>
      <w:spacing w:after="120"/>
    </w:pPr>
  </w:style>
  <w:style w:type="character" w:customStyle="1" w:styleId="TextkrperZchn">
    <w:name w:val="Textkörper Zchn"/>
    <w:basedOn w:val="Absatz-Standardschriftart"/>
    <w:link w:val="Textkrper"/>
    <w:uiPriority w:val="99"/>
    <w:semiHidden/>
    <w:rsid w:val="00EF695B"/>
    <w:rPr>
      <w:color w:val="00000A"/>
      <w:sz w:val="24"/>
      <w:szCs w:val="24"/>
      <w:lang w:val="en-GB"/>
    </w:rPr>
  </w:style>
  <w:style w:type="character" w:customStyle="1" w:styleId="berschrift1Zchn">
    <w:name w:val="Überschrift 1 Zchn"/>
    <w:basedOn w:val="Absatz-Standardschriftart"/>
    <w:link w:val="berschrift1"/>
    <w:uiPriority w:val="9"/>
    <w:rsid w:val="00EF695B"/>
    <w:rPr>
      <w:rFonts w:ascii="Times New Roman" w:eastAsiaTheme="majorEastAsia" w:hAnsi="Times New Roman" w:cstheme="majorBidi"/>
      <w:b/>
      <w:bCs/>
      <w:color w:val="000000"/>
      <w:sz w:val="32"/>
      <w:szCs w:val="32"/>
      <w:lang w:val="en-GB"/>
    </w:rPr>
  </w:style>
  <w:style w:type="paragraph" w:styleId="Kopfzeile">
    <w:name w:val="header"/>
    <w:basedOn w:val="Standard"/>
    <w:link w:val="KopfzeileZchn"/>
    <w:uiPriority w:val="99"/>
    <w:unhideWhenUsed/>
    <w:rsid w:val="00EF695B"/>
    <w:pPr>
      <w:tabs>
        <w:tab w:val="center" w:pos="4536"/>
        <w:tab w:val="right" w:pos="9072"/>
      </w:tabs>
      <w:spacing w:after="0"/>
    </w:pPr>
  </w:style>
  <w:style w:type="character" w:customStyle="1" w:styleId="KopfzeileZchn">
    <w:name w:val="Kopfzeile Zchn"/>
    <w:basedOn w:val="Absatz-Standardschriftart"/>
    <w:link w:val="Kopfzeile"/>
    <w:uiPriority w:val="99"/>
    <w:rsid w:val="00EF695B"/>
    <w:rPr>
      <w:color w:val="00000A"/>
      <w:sz w:val="24"/>
      <w:szCs w:val="24"/>
      <w:lang w:val="en-GB"/>
    </w:rPr>
  </w:style>
  <w:style w:type="paragraph" w:styleId="Fuzeile">
    <w:name w:val="footer"/>
    <w:basedOn w:val="Standard"/>
    <w:link w:val="FuzeileZchn"/>
    <w:uiPriority w:val="99"/>
    <w:unhideWhenUsed/>
    <w:rsid w:val="00EF695B"/>
    <w:pPr>
      <w:tabs>
        <w:tab w:val="center" w:pos="4536"/>
        <w:tab w:val="right" w:pos="9072"/>
      </w:tabs>
      <w:spacing w:after="0"/>
    </w:pPr>
  </w:style>
  <w:style w:type="character" w:customStyle="1" w:styleId="FuzeileZchn">
    <w:name w:val="Fußzeile Zchn"/>
    <w:basedOn w:val="Absatz-Standardschriftart"/>
    <w:link w:val="Fuzeile"/>
    <w:uiPriority w:val="99"/>
    <w:rsid w:val="00EF695B"/>
    <w:rPr>
      <w:color w:val="00000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goettingen.de/en/19932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angeslag.uni-goettingen.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goettingen.de/en/593849.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uni-goettingen.de/en/211375.html" TargetMode="External"/><Relationship Id="rId4" Type="http://schemas.openxmlformats.org/officeDocument/2006/relationships/footnotes" Target="footnotes.xml"/><Relationship Id="rId9" Type="http://schemas.openxmlformats.org/officeDocument/2006/relationships/hyperlink" Target="https://uni-goettingen.de/en/613758.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941</Characters>
  <Application>Microsoft Office Word</Application>
  <DocSecurity>0</DocSecurity>
  <Lines>7</Lines>
  <Paragraphs>2</Paragraphs>
  <ScaleCrop>false</ScaleCrop>
  <Company>Georg August Universität Göttingen</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Fenske-Schöbitz, Jessica Caroline</dc:creator>
  <cp:keywords/>
  <dc:description/>
  <cp:lastModifiedBy>Fenske-Schöbitz, Jessica Caroline</cp:lastModifiedBy>
  <cp:revision>1</cp:revision>
  <dcterms:created xsi:type="dcterms:W3CDTF">2024-09-11T11:16:00Z</dcterms:created>
  <dcterms:modified xsi:type="dcterms:W3CDTF">2024-09-11T11:17:00Z</dcterms:modified>
</cp:coreProperties>
</file>